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デフォルト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ja-JP" w:eastAsia="ja-JP"/>
        </w:rPr>
        <w:t>行事実施計画書：施設内映画館イベント「しあわせシネマ」</w:t>
      </w:r>
    </w:p>
    <w:p>
      <w:pPr>
        <w:pStyle w:val="デフォルト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z w:val="22"/>
          <w:szCs w:val="22"/>
          <w:shd w:val="clear" w:color="auto" w:fill="ffffff"/>
          <w:rtl w:val="0"/>
        </w:rPr>
      </w:pPr>
      <w:r>
        <w:rPr>
          <w:rFonts w:ascii="Times Roman" w:hAnsi="Times Roman"/>
          <w:b w:val="1"/>
          <w:bCs w:val="1"/>
          <w:sz w:val="22"/>
          <w:szCs w:val="22"/>
          <w:shd w:val="clear" w:color="auto" w:fill="ffffff"/>
          <w:rtl w:val="0"/>
        </w:rPr>
        <w:t xml:space="preserve">1.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2"/>
          <w:szCs w:val="22"/>
          <w:shd w:val="clear" w:color="auto" w:fill="ffffff"/>
          <w:rtl w:val="0"/>
          <w:lang w:val="ja-JP" w:eastAsia="ja-JP"/>
        </w:rPr>
        <w:t>企画の目的・ねらい</w:t>
      </w:r>
    </w:p>
    <w:p>
      <w:pPr>
        <w:pStyle w:val="デフォルト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eastAsia="Times Roman" w:hint="eastAsia"/>
          <w:sz w:val="16"/>
          <w:szCs w:val="16"/>
          <w:rtl w:val="0"/>
          <w:lang w:val="ja-JP" w:eastAsia="ja-JP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6"/>
          <w:szCs w:val="16"/>
          <w:shd w:val="clear" w:color="auto" w:fill="ffffff"/>
          <w:rtl w:val="0"/>
          <w:lang w:val="ja-JP" w:eastAsia="ja-JP"/>
        </w:rPr>
        <w:t>非日常空間の演出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6"/>
          <w:szCs w:val="16"/>
          <w:shd w:val="clear" w:color="auto" w:fill="ffffff"/>
          <w:rtl w:val="0"/>
          <w:lang w:val="ja-JP" w:eastAsia="ja-JP"/>
        </w:rPr>
        <w:t>：外出が困難な利用者に対し、施設内に「映画館」という非日常を再現することで、生活の質の向上（</w:t>
      </w:r>
      <w:r>
        <w:rPr>
          <w:rFonts w:ascii="Times Roman" w:hAnsi="Times Roman"/>
          <w:sz w:val="16"/>
          <w:szCs w:val="16"/>
          <w:shd w:val="clear" w:color="auto" w:fill="ffffff"/>
          <w:rtl w:val="0"/>
          <w:lang w:val="de-DE"/>
        </w:rPr>
        <w:t>QOL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6"/>
          <w:szCs w:val="16"/>
          <w:shd w:val="clear" w:color="auto" w:fill="ffffff"/>
          <w:rtl w:val="0"/>
          <w:lang w:val="ja-JP" w:eastAsia="ja-JP"/>
        </w:rPr>
        <w:t>）を図る。</w:t>
      </w:r>
    </w:p>
    <w:p>
      <w:pPr>
        <w:pStyle w:val="デフォルト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eastAsia="Times Roman" w:hint="eastAsia"/>
          <w:sz w:val="16"/>
          <w:szCs w:val="16"/>
          <w:rtl w:val="0"/>
          <w:lang w:val="ja-JP" w:eastAsia="ja-JP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6"/>
          <w:szCs w:val="16"/>
          <w:shd w:val="clear" w:color="auto" w:fill="ffffff"/>
          <w:rtl w:val="0"/>
          <w:lang w:val="ja-JP" w:eastAsia="ja-JP"/>
        </w:rPr>
        <w:t>五感の活性化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6"/>
          <w:szCs w:val="16"/>
          <w:shd w:val="clear" w:color="auto" w:fill="ffffff"/>
          <w:rtl w:val="0"/>
          <w:lang w:val="ja-JP" w:eastAsia="ja-JP"/>
        </w:rPr>
        <w:t>：大画面の映像（視覚）、迫力ある音響（聴覚）、ポップコーンの香り（嗅覚）を刺激し、心身のリフレッシュを促す。</w:t>
      </w:r>
    </w:p>
    <w:p>
      <w:pPr>
        <w:pStyle w:val="デフォルト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eastAsia="Times Roman" w:hint="eastAsia"/>
          <w:sz w:val="16"/>
          <w:szCs w:val="16"/>
          <w:rtl w:val="0"/>
          <w:lang w:val="ja-JP" w:eastAsia="ja-JP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6"/>
          <w:szCs w:val="16"/>
          <w:shd w:val="clear" w:color="auto" w:fill="ffffff"/>
          <w:rtl w:val="0"/>
          <w:lang w:val="ja-JP" w:eastAsia="ja-JP"/>
        </w:rPr>
        <w:t>社会交流の促進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6"/>
          <w:szCs w:val="16"/>
          <w:shd w:val="clear" w:color="auto" w:fill="ffffff"/>
          <w:rtl w:val="0"/>
          <w:lang w:val="ja-JP" w:eastAsia="ja-JP"/>
        </w:rPr>
        <w:t>：チケット配布や上映後の感想共有を通じ、利用者同士および職員とのポジティブなコミュニケーション機会を創出する。</w:t>
      </w:r>
    </w:p>
    <w:p>
      <w:pPr>
        <w:pStyle w:val="デフォルト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z w:val="22"/>
          <w:szCs w:val="22"/>
          <w:shd w:val="clear" w:color="auto" w:fill="ffffff"/>
          <w:rtl w:val="0"/>
        </w:rPr>
      </w:pPr>
      <w:r>
        <w:rPr>
          <w:rFonts w:ascii="Times Roman" w:hAnsi="Times Roman"/>
          <w:b w:val="1"/>
          <w:bCs w:val="1"/>
          <w:sz w:val="22"/>
          <w:szCs w:val="22"/>
          <w:shd w:val="clear" w:color="auto" w:fill="ffffff"/>
          <w:rtl w:val="0"/>
        </w:rPr>
        <w:t xml:space="preserve">2.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2"/>
          <w:szCs w:val="22"/>
          <w:shd w:val="clear" w:color="auto" w:fill="ffffff"/>
          <w:rtl w:val="0"/>
          <w:lang w:val="ja-JP" w:eastAsia="ja-JP"/>
        </w:rPr>
        <w:t>実施概要</w:t>
      </w:r>
    </w:p>
    <w:p>
      <w:pPr>
        <w:pStyle w:val="デフォルト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eastAsia="Times Roman" w:hint="eastAsia"/>
          <w:sz w:val="18"/>
          <w:szCs w:val="18"/>
          <w:rtl w:val="0"/>
          <w:lang w:val="ja-JP" w:eastAsia="ja-JP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shd w:val="clear" w:color="auto" w:fill="ffffff"/>
          <w:rtl w:val="0"/>
          <w:lang w:val="ja-JP" w:eastAsia="ja-JP"/>
        </w:rPr>
        <w:t>日時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shd w:val="clear" w:color="auto" w:fill="ffffff"/>
          <w:rtl w:val="0"/>
        </w:rPr>
        <w:t>：</w:t>
      </w:r>
      <w:r>
        <w:rPr>
          <w:rFonts w:ascii="Times Roman" w:hAnsi="Times Roman"/>
          <w:sz w:val="18"/>
          <w:szCs w:val="18"/>
          <w:shd w:val="clear" w:color="auto" w:fill="ffffff"/>
          <w:rtl w:val="0"/>
        </w:rPr>
        <w:t>202X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shd w:val="clear" w:color="auto" w:fill="ffffff"/>
          <w:rtl w:val="0"/>
        </w:rPr>
        <w:t>年　月　日（　）</w:t>
      </w:r>
      <w:r>
        <w:rPr>
          <w:rFonts w:ascii="Times Roman" w:hAnsi="Times Roman"/>
          <w:sz w:val="18"/>
          <w:szCs w:val="18"/>
          <w:shd w:val="clear" w:color="auto" w:fill="ffffff"/>
          <w:rtl w:val="0"/>
        </w:rPr>
        <w:t xml:space="preserve"> </w:t>
      </w:r>
      <w:r>
        <w:rPr>
          <w:rFonts w:ascii="Times Roman" w:hAnsi="Times Roman"/>
          <w:sz w:val="18"/>
          <w:szCs w:val="18"/>
          <w:shd w:val="clear" w:color="auto" w:fill="ffffff"/>
          <w:rtl w:val="0"/>
        </w:rPr>
        <w:t xml:space="preserve">14:00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shd w:val="clear" w:color="auto" w:fill="ffffff"/>
          <w:rtl w:val="0"/>
        </w:rPr>
        <w:t>～</w:t>
      </w:r>
      <w:r>
        <w:rPr>
          <w:rFonts w:ascii="Times Roman" w:hAnsi="Times Roman"/>
          <w:sz w:val="18"/>
          <w:szCs w:val="18"/>
          <w:shd w:val="clear" w:color="auto" w:fill="ffffff"/>
          <w:rtl w:val="0"/>
        </w:rPr>
        <w:t xml:space="preserve"> </w:t>
      </w:r>
      <w:r>
        <w:rPr>
          <w:rFonts w:ascii="Times Roman" w:hAnsi="Times Roman"/>
          <w:sz w:val="18"/>
          <w:szCs w:val="18"/>
          <w:shd w:val="clear" w:color="auto" w:fill="ffffff"/>
          <w:rtl w:val="0"/>
        </w:rPr>
        <w:t>16:00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shd w:val="clear" w:color="auto" w:fill="ffffff"/>
          <w:rtl w:val="0"/>
          <w:lang w:val="ja-JP" w:eastAsia="ja-JP"/>
        </w:rPr>
        <w:t>　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shd w:val="clear" w:color="auto" w:fill="ffffff"/>
          <w:rtl w:val="0"/>
          <w:lang w:val="ja-JP" w:eastAsia="ja-JP"/>
        </w:rPr>
        <w:t>場所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shd w:val="clear" w:color="auto" w:fill="ffffff"/>
          <w:rtl w:val="0"/>
          <w:lang w:val="ja-JP" w:eastAsia="ja-JP"/>
        </w:rPr>
        <w:t>：施設</w:t>
      </w:r>
      <w:r>
        <w:rPr>
          <w:rFonts w:ascii="Times Roman" w:hAnsi="Times Roman"/>
          <w:sz w:val="18"/>
          <w:szCs w:val="18"/>
          <w:shd w:val="clear" w:color="auto" w:fill="ffffff"/>
          <w:rtl w:val="0"/>
        </w:rPr>
        <w:t>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shd w:val="clear" w:color="auto" w:fill="ffffff"/>
          <w:rtl w:val="0"/>
          <w:lang w:val="ja-JP" w:eastAsia="ja-JP"/>
        </w:rPr>
        <w:t>階　デイルーム（多目的ホール）</w:t>
      </w:r>
    </w:p>
    <w:p>
      <w:pPr>
        <w:pStyle w:val="デフォルト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eastAsia="Times Roman" w:hint="eastAsia"/>
          <w:sz w:val="18"/>
          <w:szCs w:val="18"/>
          <w:rtl w:val="0"/>
          <w:lang w:val="ja-JP" w:eastAsia="ja-JP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shd w:val="clear" w:color="auto" w:fill="ffffff"/>
          <w:rtl w:val="0"/>
          <w:lang w:val="ja-JP" w:eastAsia="ja-JP"/>
        </w:rPr>
        <w:t>上映作品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shd w:val="clear" w:color="auto" w:fill="ffffff"/>
          <w:rtl w:val="0"/>
        </w:rPr>
        <w:t>：『　　　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2"/>
          <w:szCs w:val="22"/>
          <w:shd w:val="clear" w:color="auto" w:fill="ffffff"/>
          <w:rtl w:val="0"/>
        </w:rPr>
        <w:t>　　　　　　　　　　　　　　　　　』</w:t>
      </w:r>
    </w:p>
    <w:p>
      <w:pPr>
        <w:pStyle w:val="デフォルト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18"/>
          <w:szCs w:val="18"/>
          <w:shd w:val="clear" w:color="auto" w:fill="ffffff"/>
          <w:rtl w:val="0"/>
        </w:rPr>
      </w:pPr>
      <w:r>
        <w:rPr>
          <w:rFonts w:ascii="Times Roman" w:hAnsi="Times Roman"/>
          <w:b w:val="1"/>
          <w:bCs w:val="1"/>
          <w:sz w:val="22"/>
          <w:szCs w:val="22"/>
          <w:shd w:val="clear" w:color="auto" w:fill="ffffff"/>
          <w:rtl w:val="0"/>
        </w:rPr>
        <w:t xml:space="preserve">3.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2"/>
          <w:szCs w:val="22"/>
          <w:shd w:val="clear" w:color="auto" w:fill="ffffff"/>
          <w:rtl w:val="0"/>
          <w:lang w:val="ja-JP" w:eastAsia="ja-JP"/>
        </w:rPr>
        <w:t>準備物品および予算案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shd w:val="clear" w:color="auto" w:fill="ffffff"/>
          <w:rtl w:val="0"/>
          <w:lang w:val="ja-JP" w:eastAsia="ja-JP"/>
        </w:rPr>
        <w:t>調理器具（ポップコーンメーカー）については、今後の他行事（夏祭り、誕生日会等）でも継続利用が可能なため、中長期的なコストメリットを見込みます。</w:t>
      </w:r>
    </w:p>
    <w:tbl>
      <w:tblPr>
        <w:tblW w:w="9569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456"/>
        <w:gridCol w:w="4155"/>
        <w:gridCol w:w="1973"/>
        <w:gridCol w:w="1985"/>
      </w:tblGrid>
      <w:tr>
        <w:tblPrEx>
          <w:shd w:val="clear" w:color="auto" w:fill="auto"/>
        </w:tblPrEx>
        <w:trPr>
          <w:trHeight w:val="427" w:hRule="atLeast"/>
        </w:trPr>
        <w:tc>
          <w:tcPr>
            <w:tcW w:type="dxa" w:w="14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eastAsia="Times Roman" w:hint="eastAsia"/>
                <w:sz w:val="16"/>
                <w:szCs w:val="16"/>
                <w:rtl w:val="0"/>
              </w:rPr>
              <w:t>項目</w:t>
            </w:r>
          </w:p>
        </w:tc>
        <w:tc>
          <w:tcPr>
            <w:tcW w:type="dxa" w:w="41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eastAsia="Times Roman" w:hint="eastAsia"/>
                <w:sz w:val="16"/>
                <w:szCs w:val="16"/>
                <w:rtl w:val="0"/>
              </w:rPr>
              <w:t>詳細・用途</w:t>
            </w:r>
          </w:p>
        </w:tc>
        <w:tc>
          <w:tcPr>
            <w:tcW w:type="dxa" w:w="19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eastAsia="Times Roman" w:hint="eastAsia"/>
                <w:sz w:val="16"/>
                <w:szCs w:val="16"/>
                <w:rtl w:val="0"/>
              </w:rPr>
              <w:t>予算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eastAsia="Times Roman" w:hint="eastAsia"/>
                <w:sz w:val="16"/>
                <w:szCs w:val="16"/>
                <w:rtl w:val="0"/>
              </w:rPr>
              <w:t>備考</w:t>
            </w:r>
          </w:p>
        </w:tc>
      </w:tr>
      <w:tr>
        <w:tblPrEx>
          <w:shd w:val="clear" w:color="auto" w:fill="auto"/>
        </w:tblPrEx>
        <w:trPr>
          <w:trHeight w:val="427" w:hRule="atLeast"/>
        </w:trPr>
        <w:tc>
          <w:tcPr>
            <w:tcW w:type="dxa" w:w="14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eastAsia="Times Roman" w:hint="eastAsia"/>
                <w:b w:val="1"/>
                <w:bCs w:val="1"/>
                <w:sz w:val="16"/>
                <w:szCs w:val="16"/>
                <w:rtl w:val="0"/>
              </w:rPr>
              <w:t>映像機器</w:t>
            </w:r>
          </w:p>
        </w:tc>
        <w:tc>
          <w:tcPr>
            <w:tcW w:type="dxa" w:w="41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eastAsia="Times Roman" w:hint="eastAsia"/>
                <w:sz w:val="16"/>
                <w:szCs w:val="16"/>
                <w:rtl w:val="0"/>
              </w:rPr>
              <w:t>プロジェクター、スクリーン、スピーカー</w:t>
            </w:r>
          </w:p>
        </w:tc>
        <w:tc>
          <w:tcPr>
            <w:tcW w:type="dxa" w:w="19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16"/>
                <w:szCs w:val="16"/>
                <w:rtl w:val="0"/>
              </w:rPr>
              <w:t>0</w:t>
            </w:r>
            <w:r>
              <w:rPr>
                <w:rFonts w:eastAsia="Times Roman" w:hint="eastAsia"/>
                <w:sz w:val="16"/>
                <w:szCs w:val="16"/>
                <w:rtl w:val="0"/>
              </w:rPr>
              <w:t>円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eastAsia="Times Roman" w:hint="eastAsia"/>
                <w:sz w:val="16"/>
                <w:szCs w:val="16"/>
                <w:rtl w:val="0"/>
              </w:rPr>
              <w:t>施設備品を使用</w:t>
            </w:r>
          </w:p>
        </w:tc>
      </w:tr>
      <w:tr>
        <w:tblPrEx>
          <w:shd w:val="clear" w:color="auto" w:fill="auto"/>
        </w:tblPrEx>
        <w:trPr>
          <w:trHeight w:val="427" w:hRule="atLeast"/>
        </w:trPr>
        <w:tc>
          <w:tcPr>
            <w:tcW w:type="dxa" w:w="14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eastAsia="Times Roman" w:hint="eastAsia"/>
                <w:b w:val="1"/>
                <w:bCs w:val="1"/>
                <w:sz w:val="16"/>
                <w:szCs w:val="16"/>
                <w:rtl w:val="0"/>
              </w:rPr>
              <w:t>調理器具</w:t>
            </w:r>
          </w:p>
        </w:tc>
        <w:tc>
          <w:tcPr>
            <w:tcW w:type="dxa" w:w="41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eastAsia="Times Roman" w:hint="eastAsia"/>
                <w:sz w:val="16"/>
                <w:szCs w:val="16"/>
                <w:rtl w:val="0"/>
              </w:rPr>
              <w:t>ポップコーンメーカー（ミナト製等）</w:t>
            </w:r>
          </w:p>
        </w:tc>
        <w:tc>
          <w:tcPr>
            <w:tcW w:type="dxa" w:w="19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eastAsia="Times Roman" w:hint="eastAsia"/>
                <w:sz w:val="16"/>
                <w:szCs w:val="16"/>
                <w:rtl w:val="0"/>
              </w:rPr>
              <w:t>〇</w:t>
            </w:r>
            <w:r>
              <w:rPr>
                <w:rFonts w:ascii="Times Roman" w:hAnsi="Times Roman"/>
                <w:sz w:val="16"/>
                <w:szCs w:val="16"/>
                <w:rtl w:val="0"/>
              </w:rPr>
              <w:t>,</w:t>
            </w:r>
            <w:r>
              <w:rPr>
                <w:rFonts w:eastAsia="Times Roman" w:hint="eastAsia"/>
                <w:sz w:val="16"/>
                <w:szCs w:val="16"/>
                <w:rtl w:val="0"/>
              </w:rPr>
              <w:t>〇〇〇円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eastAsia="Times Roman" w:hint="eastAsia"/>
                <w:sz w:val="16"/>
                <w:szCs w:val="16"/>
                <w:rtl w:val="0"/>
              </w:rPr>
              <w:t>新規購入（多用途）</w:t>
            </w:r>
          </w:p>
        </w:tc>
      </w:tr>
      <w:tr>
        <w:tblPrEx>
          <w:shd w:val="clear" w:color="auto" w:fill="auto"/>
        </w:tblPrEx>
        <w:trPr>
          <w:trHeight w:val="427" w:hRule="atLeast"/>
        </w:trPr>
        <w:tc>
          <w:tcPr>
            <w:tcW w:type="dxa" w:w="14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eastAsia="Times Roman" w:hint="eastAsia"/>
                <w:b w:val="1"/>
                <w:bCs w:val="1"/>
                <w:sz w:val="16"/>
                <w:szCs w:val="16"/>
                <w:rtl w:val="0"/>
              </w:rPr>
              <w:t>食材</w:t>
            </w:r>
          </w:p>
        </w:tc>
        <w:tc>
          <w:tcPr>
            <w:tcW w:type="dxa" w:w="41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eastAsia="Times Roman" w:hint="eastAsia"/>
                <w:sz w:val="16"/>
                <w:szCs w:val="16"/>
                <w:rtl w:val="0"/>
              </w:rPr>
              <w:t>ポップコーン豆、フレーバー、油、飲料</w:t>
            </w:r>
          </w:p>
        </w:tc>
        <w:tc>
          <w:tcPr>
            <w:tcW w:type="dxa" w:w="19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eastAsia="Times Roman" w:hint="eastAsia"/>
                <w:sz w:val="16"/>
                <w:szCs w:val="16"/>
                <w:rtl w:val="0"/>
              </w:rPr>
              <w:t>〇</w:t>
            </w:r>
            <w:r>
              <w:rPr>
                <w:rFonts w:ascii="Times Roman" w:hAnsi="Times Roman"/>
                <w:sz w:val="16"/>
                <w:szCs w:val="16"/>
                <w:rtl w:val="0"/>
              </w:rPr>
              <w:t>,</w:t>
            </w:r>
            <w:r>
              <w:rPr>
                <w:rFonts w:eastAsia="Times Roman" w:hint="eastAsia"/>
                <w:sz w:val="16"/>
                <w:szCs w:val="16"/>
                <w:rtl w:val="0"/>
              </w:rPr>
              <w:t>〇〇〇円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eastAsia="Times Roman" w:hint="eastAsia"/>
                <w:sz w:val="16"/>
                <w:szCs w:val="16"/>
                <w:rtl w:val="0"/>
              </w:rPr>
              <w:t>約〇〇名分</w:t>
            </w:r>
          </w:p>
        </w:tc>
      </w:tr>
      <w:tr>
        <w:tblPrEx>
          <w:shd w:val="clear" w:color="auto" w:fill="auto"/>
        </w:tblPrEx>
        <w:trPr>
          <w:trHeight w:val="427" w:hRule="atLeast"/>
        </w:trPr>
        <w:tc>
          <w:tcPr>
            <w:tcW w:type="dxa" w:w="14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eastAsia="Times Roman" w:hint="eastAsia"/>
                <w:b w:val="1"/>
                <w:bCs w:val="1"/>
                <w:sz w:val="16"/>
                <w:szCs w:val="16"/>
                <w:rtl w:val="0"/>
              </w:rPr>
              <w:t>演出小物</w:t>
            </w:r>
          </w:p>
        </w:tc>
        <w:tc>
          <w:tcPr>
            <w:tcW w:type="dxa" w:w="41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eastAsia="Times Roman" w:hint="eastAsia"/>
                <w:sz w:val="16"/>
                <w:szCs w:val="16"/>
                <w:rtl w:val="0"/>
              </w:rPr>
              <w:t>暗幕、模擬チケット、紙コップ</w:t>
            </w:r>
          </w:p>
        </w:tc>
        <w:tc>
          <w:tcPr>
            <w:tcW w:type="dxa" w:w="19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eastAsia="Times Roman" w:hint="eastAsia"/>
                <w:sz w:val="16"/>
                <w:szCs w:val="16"/>
                <w:rtl w:val="0"/>
              </w:rPr>
              <w:t>〇〇〇円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16"/>
                <w:szCs w:val="16"/>
                <w:rtl w:val="0"/>
              </w:rPr>
              <w:t>100</w:t>
            </w:r>
            <w:r>
              <w:rPr>
                <w:rFonts w:eastAsia="Times Roman" w:hint="eastAsia"/>
                <w:sz w:val="16"/>
                <w:szCs w:val="16"/>
                <w:rtl w:val="0"/>
              </w:rPr>
              <w:t>円ショップ等</w:t>
            </w:r>
          </w:p>
        </w:tc>
      </w:tr>
      <w:tr>
        <w:tblPrEx>
          <w:shd w:val="clear" w:color="auto" w:fill="auto"/>
        </w:tblPrEx>
        <w:trPr>
          <w:trHeight w:val="427" w:hRule="atLeast"/>
        </w:trPr>
        <w:tc>
          <w:tcPr>
            <w:tcW w:type="dxa" w:w="14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eastAsia="Times Roman" w:hint="eastAsia"/>
                <w:b w:val="1"/>
                <w:bCs w:val="1"/>
                <w:sz w:val="16"/>
                <w:szCs w:val="16"/>
                <w:rtl w:val="0"/>
              </w:rPr>
              <w:t>合計</w:t>
            </w:r>
          </w:p>
        </w:tc>
        <w:tc>
          <w:tcPr>
            <w:tcW w:type="dxa" w:w="41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9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表スタイル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eastAsia="Times Roman" w:hint="eastAsia"/>
                <w:b w:val="1"/>
                <w:bCs w:val="1"/>
                <w:sz w:val="16"/>
                <w:szCs w:val="16"/>
                <w:rtl w:val="0"/>
              </w:rPr>
              <w:t>計 〇</w:t>
            </w:r>
            <w:r>
              <w:rPr>
                <w:rFonts w:ascii="Times Roman" w:hAnsi="Times Roman"/>
                <w:b w:val="1"/>
                <w:bCs w:val="1"/>
                <w:sz w:val="16"/>
                <w:szCs w:val="16"/>
                <w:rtl w:val="0"/>
              </w:rPr>
              <w:t>,</w:t>
            </w:r>
            <w:r>
              <w:rPr>
                <w:rFonts w:eastAsia="Times Roman" w:hint="eastAsia"/>
                <w:b w:val="1"/>
                <w:bCs w:val="1"/>
                <w:sz w:val="16"/>
                <w:szCs w:val="16"/>
                <w:rtl w:val="0"/>
              </w:rPr>
              <w:t>〇〇〇円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デフォルト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デフォルト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z w:val="22"/>
          <w:szCs w:val="22"/>
          <w:shd w:val="clear" w:color="auto" w:fill="ffffff"/>
          <w:rtl w:val="0"/>
        </w:rPr>
      </w:pPr>
      <w:r>
        <w:rPr>
          <w:rFonts w:ascii="Times Roman" w:hAnsi="Times Roman"/>
          <w:b w:val="1"/>
          <w:bCs w:val="1"/>
          <w:shd w:val="clear" w:color="auto" w:fill="ffffff"/>
          <w:rtl w:val="0"/>
        </w:rPr>
        <w:t>4</w:t>
      </w:r>
      <w:r>
        <w:rPr>
          <w:rFonts w:ascii="Times Roman" w:hAnsi="Times Roman"/>
          <w:b w:val="1"/>
          <w:bCs w:val="1"/>
          <w:sz w:val="22"/>
          <w:szCs w:val="22"/>
          <w:shd w:val="clear" w:color="auto" w:fill="ffffff"/>
          <w:rtl w:val="0"/>
        </w:rPr>
        <w:t xml:space="preserve">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2"/>
          <w:szCs w:val="22"/>
          <w:shd w:val="clear" w:color="auto" w:fill="ffffff"/>
          <w:rtl w:val="0"/>
          <w:lang w:val="ja-JP" w:eastAsia="ja-JP"/>
        </w:rPr>
        <w:t>当日のスケジュール</w:t>
      </w:r>
    </w:p>
    <w:p>
      <w:pPr>
        <w:pStyle w:val="デフォルト"/>
        <w:numPr>
          <w:ilvl w:val="0"/>
          <w:numId w:val="5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sz w:val="16"/>
          <w:szCs w:val="16"/>
          <w:rtl w:val="0"/>
        </w:rPr>
      </w:pPr>
      <w:r>
        <w:rPr>
          <w:rFonts w:ascii="Times Roman" w:hAnsi="Times Roman"/>
          <w:sz w:val="16"/>
          <w:szCs w:val="16"/>
          <w:shd w:val="clear" w:color="auto" w:fill="ffffff"/>
          <w:rtl w:val="0"/>
        </w:rPr>
        <w:t>13:00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6"/>
          <w:szCs w:val="16"/>
          <w:shd w:val="clear" w:color="auto" w:fill="ffffff"/>
          <w:rtl w:val="0"/>
          <w:lang w:val="ja-JP" w:eastAsia="ja-JP"/>
        </w:rPr>
        <w:t>　会場設営（暗幕設置、機材チェック）</w:t>
      </w:r>
    </w:p>
    <w:p>
      <w:pPr>
        <w:pStyle w:val="デフォルト"/>
        <w:numPr>
          <w:ilvl w:val="0"/>
          <w:numId w:val="5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sz w:val="16"/>
          <w:szCs w:val="16"/>
          <w:rtl w:val="0"/>
        </w:rPr>
      </w:pPr>
      <w:r>
        <w:rPr>
          <w:rFonts w:ascii="Times Roman" w:hAnsi="Times Roman"/>
          <w:sz w:val="16"/>
          <w:szCs w:val="16"/>
          <w:shd w:val="clear" w:color="auto" w:fill="ffffff"/>
          <w:rtl w:val="0"/>
        </w:rPr>
        <w:t>13:30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6"/>
          <w:szCs w:val="16"/>
          <w:shd w:val="clear" w:color="auto" w:fill="ffffff"/>
          <w:rtl w:val="0"/>
          <w:lang w:val="ja-JP" w:eastAsia="ja-JP"/>
        </w:rPr>
        <w:t>　ポップコーン調理開始（館内に香りを広げ、期待感を高める演出）</w:t>
      </w:r>
    </w:p>
    <w:p>
      <w:pPr>
        <w:pStyle w:val="デフォルト"/>
        <w:numPr>
          <w:ilvl w:val="0"/>
          <w:numId w:val="5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sz w:val="16"/>
          <w:szCs w:val="16"/>
          <w:rtl w:val="0"/>
        </w:rPr>
      </w:pPr>
      <w:r>
        <w:rPr>
          <w:rFonts w:ascii="Times Roman" w:hAnsi="Times Roman"/>
          <w:sz w:val="16"/>
          <w:szCs w:val="16"/>
          <w:shd w:val="clear" w:color="auto" w:fill="ffffff"/>
          <w:rtl w:val="0"/>
        </w:rPr>
        <w:t>13:45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6"/>
          <w:szCs w:val="16"/>
          <w:shd w:val="clear" w:color="auto" w:fill="ffffff"/>
          <w:rtl w:val="0"/>
          <w:lang w:val="ja-JP" w:eastAsia="ja-JP"/>
        </w:rPr>
        <w:t>　開場・受付（チケットもぎり、座席誘導）</w:t>
      </w:r>
    </w:p>
    <w:p>
      <w:pPr>
        <w:pStyle w:val="デフォルト"/>
        <w:numPr>
          <w:ilvl w:val="0"/>
          <w:numId w:val="5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sz w:val="16"/>
          <w:szCs w:val="16"/>
          <w:rtl w:val="0"/>
        </w:rPr>
      </w:pPr>
      <w:r>
        <w:rPr>
          <w:rFonts w:ascii="Times Roman" w:hAnsi="Times Roman"/>
          <w:sz w:val="16"/>
          <w:szCs w:val="16"/>
          <w:shd w:val="clear" w:color="auto" w:fill="ffffff"/>
          <w:rtl w:val="0"/>
        </w:rPr>
        <w:t>14:00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6"/>
          <w:szCs w:val="16"/>
          <w:shd w:val="clear" w:color="auto" w:fill="ffffff"/>
          <w:rtl w:val="0"/>
          <w:lang w:val="ja-JP" w:eastAsia="ja-JP"/>
        </w:rPr>
        <w:t>　上映開始</w:t>
      </w:r>
    </w:p>
    <w:p>
      <w:pPr>
        <w:pStyle w:val="デフォルト"/>
        <w:numPr>
          <w:ilvl w:val="0"/>
          <w:numId w:val="5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sz w:val="16"/>
          <w:szCs w:val="16"/>
          <w:rtl w:val="0"/>
          <w:lang w:val="de-DE"/>
        </w:rPr>
      </w:pPr>
      <w:r>
        <w:rPr>
          <w:rFonts w:ascii="Times Roman" w:hAnsi="Times Roman"/>
          <w:sz w:val="16"/>
          <w:szCs w:val="16"/>
          <w:shd w:val="clear" w:color="auto" w:fill="ffffff"/>
          <w:rtl w:val="0"/>
          <w:lang w:val="de-DE"/>
        </w:rPr>
        <w:t>14:50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6"/>
          <w:szCs w:val="16"/>
          <w:shd w:val="clear" w:color="auto" w:fill="ffffff"/>
          <w:rtl w:val="0"/>
          <w:lang w:val="ja-JP" w:eastAsia="ja-JP"/>
        </w:rPr>
        <w:t>　休憩（</w:t>
      </w:r>
      <w:r>
        <w:rPr>
          <w:rFonts w:ascii="Times Roman" w:hAnsi="Times Roman"/>
          <w:sz w:val="16"/>
          <w:szCs w:val="16"/>
          <w:shd w:val="clear" w:color="auto" w:fill="ffffff"/>
          <w:rtl w:val="0"/>
        </w:rPr>
        <w:t>10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6"/>
          <w:szCs w:val="16"/>
          <w:shd w:val="clear" w:color="auto" w:fill="ffffff"/>
          <w:rtl w:val="0"/>
          <w:lang w:val="ja-JP" w:eastAsia="ja-JP"/>
        </w:rPr>
        <w:t>分：水分補給・トイレ誘導）</w:t>
      </w:r>
    </w:p>
    <w:p>
      <w:pPr>
        <w:pStyle w:val="デフォルト"/>
        <w:numPr>
          <w:ilvl w:val="0"/>
          <w:numId w:val="5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sz w:val="16"/>
          <w:szCs w:val="16"/>
          <w:rtl w:val="0"/>
          <w:lang w:val="de-DE"/>
        </w:rPr>
      </w:pPr>
      <w:r>
        <w:rPr>
          <w:rFonts w:ascii="Times Roman" w:hAnsi="Times Roman"/>
          <w:sz w:val="16"/>
          <w:szCs w:val="16"/>
          <w:shd w:val="clear" w:color="auto" w:fill="ffffff"/>
          <w:rtl w:val="0"/>
          <w:lang w:val="de-DE"/>
        </w:rPr>
        <w:t>15:50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6"/>
          <w:szCs w:val="16"/>
          <w:shd w:val="clear" w:color="auto" w:fill="ffffff"/>
          <w:rtl w:val="0"/>
          <w:lang w:val="ja-JP" w:eastAsia="ja-JP"/>
        </w:rPr>
        <w:t>　上映終了・解散</w:t>
      </w:r>
    </w:p>
    <w:p>
      <w:pPr>
        <w:pStyle w:val="デフォルト"/>
        <w:numPr>
          <w:ilvl w:val="0"/>
          <w:numId w:val="5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sz w:val="16"/>
          <w:szCs w:val="16"/>
          <w:rtl w:val="0"/>
        </w:rPr>
      </w:pPr>
      <w:r>
        <w:rPr>
          <w:rFonts w:ascii="Times Roman" w:hAnsi="Times Roman"/>
          <w:sz w:val="16"/>
          <w:szCs w:val="16"/>
          <w:shd w:val="clear" w:color="auto" w:fill="ffffff"/>
          <w:rtl w:val="0"/>
        </w:rPr>
        <w:t>16:00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6"/>
          <w:szCs w:val="16"/>
          <w:shd w:val="clear" w:color="auto" w:fill="ffffff"/>
          <w:rtl w:val="0"/>
          <w:lang w:val="ja-JP" w:eastAsia="ja-JP"/>
        </w:rPr>
        <w:t>　撤収・清掃・消毒</w:t>
      </w:r>
    </w:p>
    <w:p>
      <w:pPr>
        <w:pStyle w:val="デフォルト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z w:val="22"/>
          <w:szCs w:val="22"/>
          <w:shd w:val="clear" w:color="auto" w:fill="ffffff"/>
          <w:rtl w:val="0"/>
        </w:rPr>
      </w:pPr>
      <w:r>
        <w:rPr>
          <w:rFonts w:ascii="Times Roman" w:hAnsi="Times Roman"/>
          <w:b w:val="1"/>
          <w:bCs w:val="1"/>
          <w:sz w:val="22"/>
          <w:szCs w:val="22"/>
          <w:shd w:val="clear" w:color="auto" w:fill="ffffff"/>
          <w:rtl w:val="0"/>
        </w:rPr>
        <w:t xml:space="preserve">5.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2"/>
          <w:szCs w:val="22"/>
          <w:shd w:val="clear" w:color="auto" w:fill="ffffff"/>
          <w:rtl w:val="0"/>
          <w:lang w:val="ja-JP" w:eastAsia="ja-JP"/>
        </w:rPr>
        <w:t>リスク管理と配慮事項</w:t>
      </w:r>
    </w:p>
    <w:p>
      <w:pPr>
        <w:pStyle w:val="デフォルト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eastAsia="Times Roman" w:hint="eastAsia"/>
          <w:sz w:val="18"/>
          <w:szCs w:val="18"/>
          <w:rtl w:val="0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shd w:val="clear" w:color="auto" w:fill="ffffff"/>
          <w:rtl w:val="0"/>
          <w:lang w:val="zh-TW" w:eastAsia="zh-TW"/>
        </w:rPr>
        <w:t>誤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6"/>
          <w:szCs w:val="16"/>
          <w:shd w:val="clear" w:color="auto" w:fill="ffffff"/>
          <w:rtl w:val="0"/>
          <w:lang w:val="ja-JP" w:eastAsia="ja-JP"/>
        </w:rPr>
        <w:t>嚥対策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6"/>
          <w:szCs w:val="16"/>
          <w:shd w:val="clear" w:color="auto" w:fill="ffffff"/>
          <w:rtl w:val="0"/>
          <w:lang w:val="ja-JP" w:eastAsia="ja-JP"/>
        </w:rPr>
        <w:t>：嚥下機能が低下している方には、溶けやすい菓子を別途提供し、職員が見守りを行う。</w:t>
      </w:r>
    </w:p>
    <w:p>
      <w:pPr>
        <w:pStyle w:val="デフォルト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eastAsia="Times Roman" w:hint="eastAsia"/>
          <w:sz w:val="16"/>
          <w:szCs w:val="16"/>
          <w:rtl w:val="0"/>
          <w:lang w:val="ja-JP" w:eastAsia="ja-JP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6"/>
          <w:szCs w:val="16"/>
          <w:shd w:val="clear" w:color="auto" w:fill="ffffff"/>
          <w:rtl w:val="0"/>
          <w:lang w:val="ja-JP" w:eastAsia="ja-JP"/>
        </w:rPr>
        <w:t>環境配慮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6"/>
          <w:szCs w:val="16"/>
          <w:shd w:val="clear" w:color="auto" w:fill="ffffff"/>
          <w:rtl w:val="0"/>
          <w:lang w:val="ja-JP" w:eastAsia="ja-JP"/>
        </w:rPr>
        <w:t>：完全な暗転が不安な利用者には、出口付近の明るい席を確保し、安心感を確保する。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Times Roman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行頭記号"/>
  </w:abstractNum>
  <w:abstractNum w:abstractNumId="1">
    <w:multiLevelType w:val="hybridMultilevel"/>
    <w:styleLink w:val="行頭記号"/>
    <w:lvl w:ilvl="0">
      <w:start w:val="1"/>
      <w:numFmt w:val="bullet"/>
      <w:suff w:val="tab"/>
      <w:lvlText w:val="•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  <w:tab w:val="left" w:pos="1340"/>
          <w:tab w:val="left" w:pos="1360"/>
          <w:tab w:val="left" w:pos="1380"/>
          <w:tab w:val="left" w:pos="1400"/>
          <w:tab w:val="left" w:pos="1420"/>
          <w:tab w:val="left" w:pos="1440"/>
          <w:tab w:val="left" w:pos="1460"/>
          <w:tab w:val="left" w:pos="1480"/>
          <w:tab w:val="left" w:pos="1500"/>
          <w:tab w:val="left" w:pos="1520"/>
          <w:tab w:val="left" w:pos="1540"/>
          <w:tab w:val="left" w:pos="1560"/>
          <w:tab w:val="left" w:pos="1580"/>
          <w:tab w:val="left" w:pos="1600"/>
          <w:tab w:val="left" w:pos="1620"/>
          <w:tab w:val="left" w:pos="1640"/>
          <w:tab w:val="left" w:pos="1660"/>
          <w:tab w:val="left" w:pos="1680"/>
          <w:tab w:val="left" w:pos="1700"/>
          <w:tab w:val="left" w:pos="1720"/>
          <w:tab w:val="left" w:pos="1740"/>
        </w:tabs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  <w:tab w:val="left" w:pos="1340"/>
          <w:tab w:val="left" w:pos="1360"/>
          <w:tab w:val="left" w:pos="1380"/>
          <w:tab w:val="left" w:pos="1400"/>
          <w:tab w:val="left" w:pos="1420"/>
          <w:tab w:val="left" w:pos="1440"/>
          <w:tab w:val="left" w:pos="1460"/>
          <w:tab w:val="left" w:pos="1480"/>
          <w:tab w:val="left" w:pos="1500"/>
          <w:tab w:val="left" w:pos="1520"/>
          <w:tab w:val="left" w:pos="1540"/>
          <w:tab w:val="left" w:pos="1560"/>
        </w:tabs>
        <w:ind w:left="773" w:hanging="333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  <w:tab w:val="left" w:pos="1340"/>
          <w:tab w:val="left" w:pos="1360"/>
          <w:tab w:val="left" w:pos="1380"/>
          <w:tab w:val="left" w:pos="1400"/>
          <w:tab w:val="left" w:pos="1420"/>
          <w:tab w:val="left" w:pos="1440"/>
          <w:tab w:val="left" w:pos="1460"/>
          <w:tab w:val="left" w:pos="1480"/>
          <w:tab w:val="left" w:pos="1500"/>
          <w:tab w:val="left" w:pos="1520"/>
          <w:tab w:val="left" w:pos="1540"/>
          <w:tab w:val="left" w:pos="1560"/>
        </w:tabs>
        <w:ind w:left="993" w:hanging="333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  <w:tab w:val="left" w:pos="1340"/>
          <w:tab w:val="left" w:pos="1360"/>
          <w:tab w:val="left" w:pos="1380"/>
          <w:tab w:val="left" w:pos="1400"/>
          <w:tab w:val="left" w:pos="1420"/>
          <w:tab w:val="left" w:pos="1440"/>
          <w:tab w:val="left" w:pos="1460"/>
          <w:tab w:val="left" w:pos="1480"/>
          <w:tab w:val="left" w:pos="1500"/>
          <w:tab w:val="left" w:pos="1520"/>
          <w:tab w:val="left" w:pos="1540"/>
          <w:tab w:val="left" w:pos="1560"/>
        </w:tabs>
        <w:ind w:left="1213" w:hanging="333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440"/>
          <w:tab w:val="left" w:pos="1460"/>
          <w:tab w:val="left" w:pos="1480"/>
          <w:tab w:val="left" w:pos="1500"/>
          <w:tab w:val="left" w:pos="1520"/>
          <w:tab w:val="left" w:pos="1540"/>
          <w:tab w:val="left" w:pos="1560"/>
        </w:tabs>
        <w:ind w:left="1433" w:hanging="333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ind w:left="1653" w:hanging="333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ind w:left="1873" w:hanging="333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ind w:left="2093" w:hanging="333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ind w:left="2313" w:hanging="333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815" w:hanging="375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035" w:hanging="375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255" w:hanging="375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475" w:hanging="375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695" w:hanging="375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915" w:hanging="375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135" w:hanging="375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355" w:hanging="375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898" w:hanging="458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118" w:hanging="458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338" w:hanging="458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558" w:hanging="458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778" w:hanging="458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998" w:hanging="458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218" w:hanging="458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438" w:hanging="458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773" w:hanging="33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993" w:hanging="33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213" w:hanging="33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433" w:hanging="33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653" w:hanging="33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873" w:hanging="33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093" w:hanging="33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313" w:hanging="33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デフォルト">
    <w:name w:val="デフォルト"/>
    <w:next w:val="デフォルト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ヒラギノ角ゴ ProN W3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ja-JP" w:eastAsia="ja-JP"/>
      <w14:textOutline>
        <w14:noFill/>
      </w14:textOutline>
      <w14:textFill>
        <w14:solidFill>
          <w14:srgbClr w14:val="000000"/>
        </w14:solidFill>
      </w14:textFill>
    </w:rPr>
  </w:style>
  <w:style w:type="numbering" w:styleId="行頭記号">
    <w:name w:val="行頭記号"/>
    <w:pPr>
      <w:numPr>
        <w:numId w:val="1"/>
      </w:numPr>
    </w:pPr>
  </w:style>
  <w:style w:type="paragraph" w:styleId="表スタイル2">
    <w:name w:val="表スタイル2"/>
    <w:next w:val="表スタイル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ヒラギノ角ゴ ProN W3" w:hAnsi="ヒラギノ角ゴ ProN W3" w:eastAsia="ヒラギノ角ゴ ProN W3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